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4531" w14:textId="16E9F1CF" w:rsidR="008B26B3" w:rsidRDefault="003C306D" w:rsidP="003C306D">
      <w:pPr>
        <w:jc w:val="center"/>
        <w:rPr>
          <w:b/>
          <w:bCs w:val="0"/>
        </w:rPr>
      </w:pPr>
      <w:bookmarkStart w:id="0" w:name="_GoBack"/>
      <w:bookmarkEnd w:id="0"/>
      <w:r>
        <w:rPr>
          <w:b/>
          <w:bCs w:val="0"/>
        </w:rPr>
        <w:t>TOWN AND COUNTRY PLANNING ACT 1990</w:t>
      </w:r>
    </w:p>
    <w:p w14:paraId="7DF62CDB" w14:textId="70788BE2" w:rsidR="003C306D" w:rsidRDefault="003C306D" w:rsidP="003C306D">
      <w:pPr>
        <w:jc w:val="center"/>
        <w:rPr>
          <w:b/>
          <w:bCs w:val="0"/>
        </w:rPr>
      </w:pPr>
      <w:r>
        <w:rPr>
          <w:b/>
          <w:bCs w:val="0"/>
        </w:rPr>
        <w:t>PLANNING AND COMPULSORY PURCHASE ACT 2004</w:t>
      </w:r>
    </w:p>
    <w:p w14:paraId="71EFCFBC" w14:textId="77777777" w:rsidR="003C306D" w:rsidRDefault="003C306D" w:rsidP="003C306D">
      <w:pPr>
        <w:jc w:val="center"/>
        <w:rPr>
          <w:b/>
          <w:bCs w:val="0"/>
        </w:rPr>
      </w:pPr>
    </w:p>
    <w:p w14:paraId="07F020DE" w14:textId="20A46E78" w:rsidR="003C306D" w:rsidRDefault="003C306D" w:rsidP="003C306D">
      <w:pPr>
        <w:jc w:val="center"/>
        <w:rPr>
          <w:b/>
          <w:bCs w:val="0"/>
        </w:rPr>
      </w:pPr>
      <w:r>
        <w:rPr>
          <w:b/>
          <w:bCs w:val="0"/>
        </w:rPr>
        <w:t xml:space="preserve">APPLICATION BY RAILWAY PENSION NOMINEES LIMITED </w:t>
      </w:r>
    </w:p>
    <w:p w14:paraId="732F30CD" w14:textId="74702946" w:rsidR="00951A9A" w:rsidRDefault="003C306D" w:rsidP="00951A9A">
      <w:pPr>
        <w:jc w:val="center"/>
        <w:rPr>
          <w:b/>
          <w:bCs w:val="0"/>
        </w:rPr>
      </w:pPr>
      <w:r>
        <w:rPr>
          <w:b/>
          <w:bCs w:val="0"/>
        </w:rPr>
        <w:t>BEEHIVE CENTRE, COLDHAMS LANE, CAMBRIDG</w:t>
      </w:r>
      <w:r w:rsidR="00951A9A">
        <w:rPr>
          <w:b/>
          <w:bCs w:val="0"/>
        </w:rPr>
        <w:t>E</w:t>
      </w:r>
    </w:p>
    <w:p w14:paraId="3C3564C7" w14:textId="77777777" w:rsidR="00951A9A" w:rsidRDefault="00951A9A" w:rsidP="00951A9A">
      <w:pPr>
        <w:jc w:val="center"/>
        <w:rPr>
          <w:b/>
          <w:bCs w:val="0"/>
          <w:u w:val="single"/>
        </w:rPr>
      </w:pPr>
    </w:p>
    <w:p w14:paraId="1AFC93FC" w14:textId="0CE05561" w:rsidR="00951A9A" w:rsidRDefault="00951A9A" w:rsidP="00951A9A">
      <w:pPr>
        <w:jc w:val="center"/>
        <w:rPr>
          <w:b/>
          <w:bCs w:val="0"/>
          <w:sz w:val="18"/>
          <w:szCs w:val="18"/>
        </w:rPr>
      </w:pPr>
      <w:r>
        <w:rPr>
          <w:b/>
          <w:bCs w:val="0"/>
          <w:sz w:val="18"/>
          <w:szCs w:val="18"/>
        </w:rPr>
        <w:t>Inquiry opened 24 June 2025</w:t>
      </w:r>
    </w:p>
    <w:p w14:paraId="732BA080" w14:textId="2E754830" w:rsidR="00B3767F" w:rsidRPr="00951A9A" w:rsidRDefault="00B3767F" w:rsidP="00951A9A">
      <w:pPr>
        <w:jc w:val="center"/>
        <w:rPr>
          <w:b/>
          <w:bCs w:val="0"/>
          <w:sz w:val="18"/>
          <w:szCs w:val="18"/>
        </w:rPr>
      </w:pPr>
      <w:r>
        <w:rPr>
          <w:b/>
          <w:bCs w:val="0"/>
          <w:sz w:val="18"/>
          <w:szCs w:val="18"/>
        </w:rPr>
        <w:t>APP/Q0505/V/25/3360616</w:t>
      </w:r>
    </w:p>
    <w:p w14:paraId="5161ACA7" w14:textId="77777777" w:rsidR="00951A9A" w:rsidRDefault="00951A9A" w:rsidP="00951A9A">
      <w:pPr>
        <w:jc w:val="center"/>
        <w:rPr>
          <w:b/>
          <w:bCs w:val="0"/>
          <w:u w:val="single"/>
        </w:rPr>
      </w:pPr>
    </w:p>
    <w:p w14:paraId="6B16ECAF" w14:textId="77777777" w:rsidR="00951A9A" w:rsidRDefault="00951A9A" w:rsidP="00951A9A">
      <w:pPr>
        <w:jc w:val="center"/>
        <w:rPr>
          <w:b/>
          <w:bCs w:val="0"/>
          <w:u w:val="single"/>
        </w:rPr>
      </w:pPr>
    </w:p>
    <w:p w14:paraId="1CCC3DEE" w14:textId="2B29510B" w:rsidR="003C306D" w:rsidRDefault="003C306D" w:rsidP="00951A9A">
      <w:pPr>
        <w:jc w:val="center"/>
        <w:rPr>
          <w:b/>
          <w:bCs w:val="0"/>
        </w:rPr>
      </w:pPr>
      <w:r>
        <w:rPr>
          <w:b/>
          <w:bCs w:val="0"/>
          <w:u w:val="single"/>
        </w:rPr>
        <w:t>APPLICANT’S OPENING POINTS</w:t>
      </w:r>
    </w:p>
    <w:p w14:paraId="67CEEB32" w14:textId="77777777" w:rsidR="00B3111C" w:rsidRDefault="00B3111C" w:rsidP="00B3111C">
      <w:pPr>
        <w:rPr>
          <w:b/>
          <w:bCs w:val="0"/>
        </w:rPr>
      </w:pPr>
    </w:p>
    <w:p w14:paraId="12A9D9B1" w14:textId="77777777" w:rsidR="00B3111C" w:rsidRDefault="00B3111C" w:rsidP="00B3111C">
      <w:pPr>
        <w:rPr>
          <w:b/>
          <w:bCs w:val="0"/>
        </w:rPr>
      </w:pPr>
    </w:p>
    <w:p w14:paraId="3E0EFE5D" w14:textId="77777777" w:rsidR="00B3111C" w:rsidRDefault="00B3111C" w:rsidP="00B3111C">
      <w:pPr>
        <w:rPr>
          <w:b/>
          <w:bCs w:val="0"/>
        </w:rPr>
      </w:pPr>
    </w:p>
    <w:p w14:paraId="38F05698" w14:textId="4BE30B3C" w:rsidR="00B3111C" w:rsidRDefault="00E1643A" w:rsidP="00B3111C">
      <w:pPr>
        <w:pStyle w:val="ListParagraph"/>
        <w:numPr>
          <w:ilvl w:val="0"/>
          <w:numId w:val="1"/>
        </w:numPr>
        <w:spacing w:line="360" w:lineRule="auto"/>
        <w:jc w:val="both"/>
      </w:pPr>
      <w:r>
        <w:t>This called-in application proposes a transformational re-development of t</w:t>
      </w:r>
      <w:r w:rsidR="00BA0893">
        <w:t xml:space="preserve">he Beehive Centre, which lies close to Cambridge’s main station and City Centre. </w:t>
      </w:r>
      <w:r w:rsidR="005D1560">
        <w:t xml:space="preserve">At the moment, the Site is a </w:t>
      </w:r>
      <w:r w:rsidR="001714C6">
        <w:t>low-density car-</w:t>
      </w:r>
      <w:r w:rsidR="00FC3AD1">
        <w:t xml:space="preserve">intensive </w:t>
      </w:r>
      <w:r w:rsidR="001714C6">
        <w:t xml:space="preserve">retail park, developed in stages over the past </w:t>
      </w:r>
      <w:r w:rsidR="004D20A9">
        <w:t>forty years.</w:t>
      </w:r>
    </w:p>
    <w:p w14:paraId="2FD97CA9" w14:textId="2DA7A2B6" w:rsidR="00B3111C" w:rsidRDefault="00B3111C" w:rsidP="00B3111C">
      <w:pPr>
        <w:pStyle w:val="ListParagraph"/>
        <w:spacing w:line="360" w:lineRule="auto"/>
        <w:jc w:val="both"/>
      </w:pPr>
    </w:p>
    <w:p w14:paraId="686722FA" w14:textId="6932CD85" w:rsidR="00B3111C" w:rsidRDefault="004D20A9" w:rsidP="00B3111C">
      <w:pPr>
        <w:pStyle w:val="ListParagraph"/>
        <w:numPr>
          <w:ilvl w:val="0"/>
          <w:numId w:val="1"/>
        </w:numPr>
        <w:spacing w:line="360" w:lineRule="auto"/>
        <w:jc w:val="both"/>
      </w:pPr>
      <w:r>
        <w:t xml:space="preserve">The proposed change is to a </w:t>
      </w:r>
      <w:r w:rsidR="003A1AC4">
        <w:t xml:space="preserve">new high-quality local centre, workplace and innovation cluster, comprising 10 primary plots. </w:t>
      </w:r>
      <w:r w:rsidR="00B47434">
        <w:t>Outline permission is sought with all matters reserved, but governed by five parameter plans, a Design Code and conditions/106 stipulations.</w:t>
      </w:r>
    </w:p>
    <w:p w14:paraId="552F1B91" w14:textId="77777777" w:rsidR="008747DB" w:rsidRDefault="008747DB" w:rsidP="008747DB">
      <w:pPr>
        <w:pStyle w:val="ListParagraph"/>
      </w:pPr>
    </w:p>
    <w:p w14:paraId="40AD58A9" w14:textId="08CD4AE6" w:rsidR="008747DB" w:rsidRDefault="00063613" w:rsidP="00B3111C">
      <w:pPr>
        <w:pStyle w:val="ListParagraph"/>
        <w:numPr>
          <w:ilvl w:val="0"/>
          <w:numId w:val="1"/>
        </w:numPr>
        <w:spacing w:line="360" w:lineRule="auto"/>
        <w:jc w:val="both"/>
      </w:pPr>
      <w:r>
        <w:t xml:space="preserve">There is no dispute between the Applicant and the Council over most relevant planning </w:t>
      </w:r>
      <w:r w:rsidR="00AB3EB3">
        <w:t xml:space="preserve">matters. Although the Site is not allocated in the existing development plan (the Cambridge Local Plan 2018), </w:t>
      </w:r>
      <w:r w:rsidR="00365C69">
        <w:t xml:space="preserve">its future re-use </w:t>
      </w:r>
      <w:r w:rsidR="0057203B">
        <w:t xml:space="preserve">through comprehensive re-development </w:t>
      </w:r>
      <w:r w:rsidR="00365C69">
        <w:t>as proposed is agreed in principle (</w:t>
      </w:r>
      <w:r w:rsidR="0057203B">
        <w:t xml:space="preserve">SCG, CD6.03, paragraph </w:t>
      </w:r>
      <w:r w:rsidR="003602A1">
        <w:t>7.21).</w:t>
      </w:r>
    </w:p>
    <w:p w14:paraId="0EB77857" w14:textId="77777777" w:rsidR="003602A1" w:rsidRDefault="003602A1" w:rsidP="003602A1">
      <w:pPr>
        <w:pStyle w:val="ListParagraph"/>
      </w:pPr>
    </w:p>
    <w:p w14:paraId="28BA50B8" w14:textId="28546585" w:rsidR="003602A1" w:rsidRDefault="003602A1" w:rsidP="00B3111C">
      <w:pPr>
        <w:pStyle w:val="ListParagraph"/>
        <w:numPr>
          <w:ilvl w:val="0"/>
          <w:numId w:val="1"/>
        </w:numPr>
        <w:spacing w:line="360" w:lineRule="auto"/>
        <w:jc w:val="both"/>
      </w:pPr>
      <w:r>
        <w:t xml:space="preserve">That agreement follows the trajectory that one finds in the 2021 emerging Local Plan ‘first proposals’ document, which although of very limited weight as far as policy is concerned, </w:t>
      </w:r>
      <w:r w:rsidR="009B5EF2">
        <w:t>prefigures</w:t>
      </w:r>
      <w:r>
        <w:t xml:space="preserve"> what is now agreed</w:t>
      </w:r>
      <w:r w:rsidR="00A13C07">
        <w:t xml:space="preserve">; it describes the Site as one of two potential Opportunity Areas in Cambridge, </w:t>
      </w:r>
      <w:r w:rsidR="00A13C07">
        <w:rPr>
          <w:i/>
          <w:iCs/>
        </w:rPr>
        <w:t>“areas of low-density, large-scale retail uses with extensive surface parking. This does not make very good use of an expansive area of land in the heart of Cambridge. With changes</w:t>
      </w:r>
      <w:r w:rsidR="00A24C0D">
        <w:rPr>
          <w:i/>
          <w:iCs/>
        </w:rPr>
        <w:t xml:space="preserve"> in retail</w:t>
      </w:r>
      <w:r w:rsidR="002901B9">
        <w:rPr>
          <w:i/>
          <w:iCs/>
        </w:rPr>
        <w:t xml:space="preserve">ing and the increase in online shopping, when taken together with the Local Plan themes of addressing climate change and creating Great Places, these sites have the </w:t>
      </w:r>
      <w:r w:rsidR="002901B9">
        <w:rPr>
          <w:i/>
          <w:iCs/>
        </w:rPr>
        <w:lastRenderedPageBreak/>
        <w:t>potential to provide a significant opportunity for reimagining this area close to the heart of Cambridge.”</w:t>
      </w:r>
    </w:p>
    <w:p w14:paraId="674B0E71" w14:textId="77777777" w:rsidR="002901B9" w:rsidRDefault="002901B9" w:rsidP="002901B9">
      <w:pPr>
        <w:pStyle w:val="ListParagraph"/>
      </w:pPr>
    </w:p>
    <w:p w14:paraId="7A13DE7B" w14:textId="77CC08E7" w:rsidR="002901B9" w:rsidRDefault="00B71A1F" w:rsidP="00B3111C">
      <w:pPr>
        <w:pStyle w:val="ListParagraph"/>
        <w:numPr>
          <w:ilvl w:val="0"/>
          <w:numId w:val="1"/>
        </w:numPr>
        <w:spacing w:line="360" w:lineRule="auto"/>
        <w:jc w:val="both"/>
      </w:pPr>
      <w:r>
        <w:t xml:space="preserve">The </w:t>
      </w:r>
      <w:r w:rsidR="006E69DF">
        <w:t>aspirations expressed in the 2021 document for the Site chime with adopted policy at both local and national level</w:t>
      </w:r>
      <w:r w:rsidR="00986C14">
        <w:t xml:space="preserve">. The Local Plan sets out an agenda for sustainable growth, setting as its vision an image of Cambridge as </w:t>
      </w:r>
      <w:r w:rsidR="00986C14">
        <w:rPr>
          <w:i/>
          <w:iCs/>
        </w:rPr>
        <w:t>“a compact, dynamic city</w:t>
      </w:r>
      <w:r w:rsidR="00CB225A">
        <w:rPr>
          <w:i/>
          <w:iCs/>
        </w:rPr>
        <w:t>”</w:t>
      </w:r>
      <w:r w:rsidR="00CB225A">
        <w:t xml:space="preserve"> in which </w:t>
      </w:r>
      <w:r w:rsidR="00CB225A">
        <w:rPr>
          <w:i/>
          <w:iCs/>
        </w:rPr>
        <w:t>“new development will be innovative and will promote the use of sustainable modes of transport</w:t>
      </w:r>
      <w:r w:rsidR="008473B4">
        <w:rPr>
          <w:i/>
          <w:iCs/>
        </w:rPr>
        <w:t xml:space="preserve">, helping to support the transition to a more environmentally sustainable and successful low carbon economy.  The city will continue to develop as a centre of excellence </w:t>
      </w:r>
      <w:r w:rsidR="0002061C">
        <w:rPr>
          <w:i/>
          <w:iCs/>
        </w:rPr>
        <w:t xml:space="preserve">and world leader in </w:t>
      </w:r>
      <w:r w:rsidR="00407048">
        <w:rPr>
          <w:i/>
          <w:iCs/>
        </w:rPr>
        <w:t>the fields of higher education and research, and will foster the dynamism, prosperity and further expansion of the knowledge-based economy</w:t>
      </w:r>
      <w:r w:rsidR="001D7F6E">
        <w:rPr>
          <w:i/>
          <w:iCs/>
        </w:rPr>
        <w:t>, while retaining the high quality of life and place that underpins that economic success.”</w:t>
      </w:r>
    </w:p>
    <w:p w14:paraId="21961E0F" w14:textId="77777777" w:rsidR="001D7F6E" w:rsidRDefault="001D7F6E" w:rsidP="001D7F6E">
      <w:pPr>
        <w:pStyle w:val="ListParagraph"/>
      </w:pPr>
    </w:p>
    <w:p w14:paraId="372856C9" w14:textId="2336BB45" w:rsidR="001D7F6E" w:rsidRDefault="003D1382" w:rsidP="00B3111C">
      <w:pPr>
        <w:pStyle w:val="ListParagraph"/>
        <w:numPr>
          <w:ilvl w:val="0"/>
          <w:numId w:val="1"/>
        </w:numPr>
        <w:spacing w:line="360" w:lineRule="auto"/>
        <w:jc w:val="both"/>
      </w:pPr>
      <w:r>
        <w:t xml:space="preserve">Hence the </w:t>
      </w:r>
      <w:r w:rsidR="00446E79">
        <w:t xml:space="preserve">way that the application scheme transforms the quality of the place </w:t>
      </w:r>
      <w:r w:rsidR="00ED7230">
        <w:t>and aims to deliver very considerable benefits</w:t>
      </w:r>
      <w:r w:rsidR="004409FE">
        <w:t xml:space="preserve">. The scheme (originally submitted in August 2023) underwent some </w:t>
      </w:r>
      <w:r w:rsidR="007329A9">
        <w:t xml:space="preserve">significant </w:t>
      </w:r>
      <w:r w:rsidR="004409FE">
        <w:t xml:space="preserve">changes through the engagement with the Council and stakeholders, </w:t>
      </w:r>
      <w:r w:rsidR="00C935D0">
        <w:t>embodied in</w:t>
      </w:r>
      <w:r w:rsidR="004409FE">
        <w:t xml:space="preserve"> the revisions of August 2024</w:t>
      </w:r>
      <w:r w:rsidR="00C935D0">
        <w:t>,</w:t>
      </w:r>
      <w:r w:rsidR="004409FE">
        <w:t xml:space="preserve"> </w:t>
      </w:r>
      <w:r w:rsidR="00F8018E">
        <w:t>(set out in th</w:t>
      </w:r>
      <w:r w:rsidR="004409FE">
        <w:t>e Addendum DA</w:t>
      </w:r>
      <w:r w:rsidR="007329A9">
        <w:t>S</w:t>
      </w:r>
      <w:r w:rsidR="00F8018E">
        <w:t>)</w:t>
      </w:r>
      <w:r w:rsidR="007329A9">
        <w:t xml:space="preserve">. That effectively led to the recognition by the Council of the </w:t>
      </w:r>
      <w:r w:rsidR="006B59B0">
        <w:t xml:space="preserve">benefits of the proposals, </w:t>
      </w:r>
      <w:r w:rsidR="00F8018E">
        <w:t xml:space="preserve">and </w:t>
      </w:r>
      <w:r w:rsidR="009845B9">
        <w:t>t</w:t>
      </w:r>
      <w:r w:rsidR="006B59B0">
        <w:t xml:space="preserve">he way that they outweighed relatively minor heritage and townscape impacts; the Committee Report (CD3.01, </w:t>
      </w:r>
      <w:r w:rsidR="009845B9">
        <w:t>paragraph 30.34)</w:t>
      </w:r>
      <w:r w:rsidR="007B5ED9">
        <w:t xml:space="preserve"> says this</w:t>
      </w:r>
      <w:r w:rsidR="009845B9">
        <w:t xml:space="preserve">: </w:t>
      </w:r>
    </w:p>
    <w:p w14:paraId="01A22999" w14:textId="77777777" w:rsidR="009845B9" w:rsidRDefault="009845B9" w:rsidP="009845B9">
      <w:pPr>
        <w:pStyle w:val="ListParagraph"/>
      </w:pPr>
    </w:p>
    <w:p w14:paraId="1DB77837" w14:textId="14FC7260" w:rsidR="009845B9" w:rsidRPr="009845B9" w:rsidRDefault="009845B9" w:rsidP="009845B9">
      <w:pPr>
        <w:pStyle w:val="ListParagraph"/>
        <w:rPr>
          <w:i/>
          <w:iCs/>
        </w:rPr>
      </w:pPr>
      <w:r>
        <w:rPr>
          <w:i/>
          <w:iCs/>
        </w:rPr>
        <w:t xml:space="preserve">“The applicants have taken significant strides in amending the scheme to address masterplan, massing and height issues. This has included reductions in the height and modulation of buildings, the provision of better defined and larger open spaces and improved walking and cycling routes. This would all be controlled through a well-developed Design Code that would inform and guide reserved matters. These revisions have sought </w:t>
      </w:r>
      <w:r w:rsidR="00E22259">
        <w:rPr>
          <w:i/>
          <w:iCs/>
        </w:rPr>
        <w:t xml:space="preserve">to overcome/mitigate officers’ concerns regarding matters of townscape and heritage, </w:t>
      </w:r>
      <w:r w:rsidR="0076466D">
        <w:rPr>
          <w:i/>
          <w:iCs/>
        </w:rPr>
        <w:t xml:space="preserve">and whilst these harms remain, it must be recognised that </w:t>
      </w:r>
      <w:r w:rsidR="00BF4421">
        <w:rPr>
          <w:i/>
          <w:iCs/>
        </w:rPr>
        <w:t xml:space="preserve">to accommodate the aspirations of Government policy to deliver meaningful growth, </w:t>
      </w:r>
      <w:r w:rsidR="009E7613">
        <w:rPr>
          <w:i/>
          <w:iCs/>
        </w:rPr>
        <w:t xml:space="preserve">particularly in economic terms on brownfield sites such as this, that a significant degree of change and densification of the site is inevitable. To this extent, whilst </w:t>
      </w:r>
      <w:r w:rsidR="00012D08">
        <w:rPr>
          <w:i/>
          <w:iCs/>
        </w:rPr>
        <w:t>special attention and great weight must be given to the preservation of the setting of the City’s heritage assets and that harm to the City’s wider townscape setting must be carefully considered, officers are of the view that the overall public benefits of the scheme outweigh</w:t>
      </w:r>
      <w:r w:rsidR="006B563E">
        <w:rPr>
          <w:i/>
          <w:iCs/>
        </w:rPr>
        <w:t xml:space="preserve"> </w:t>
      </w:r>
      <w:r w:rsidR="00012D08">
        <w:rPr>
          <w:i/>
          <w:iCs/>
        </w:rPr>
        <w:t>the heritage and townscape harms identified.”</w:t>
      </w:r>
    </w:p>
    <w:p w14:paraId="5F4A51FC" w14:textId="77777777" w:rsidR="009845B9" w:rsidRDefault="009845B9" w:rsidP="009845B9">
      <w:pPr>
        <w:pStyle w:val="ListParagraph"/>
      </w:pPr>
    </w:p>
    <w:p w14:paraId="1E214792" w14:textId="77777777" w:rsidR="009845B9" w:rsidRDefault="009845B9" w:rsidP="009845B9">
      <w:pPr>
        <w:pStyle w:val="ListParagraph"/>
      </w:pPr>
    </w:p>
    <w:p w14:paraId="27F51E8F" w14:textId="7E69E676" w:rsidR="009845B9" w:rsidRDefault="006B563E" w:rsidP="00B3111C">
      <w:pPr>
        <w:pStyle w:val="ListParagraph"/>
        <w:numPr>
          <w:ilvl w:val="0"/>
          <w:numId w:val="1"/>
        </w:numPr>
        <w:spacing w:line="360" w:lineRule="auto"/>
        <w:jc w:val="both"/>
      </w:pPr>
      <w:r>
        <w:t>So t</w:t>
      </w:r>
      <w:r w:rsidR="008E742D">
        <w:t>wo</w:t>
      </w:r>
      <w:r>
        <w:t xml:space="preserve"> main points emerge: </w:t>
      </w:r>
      <w:r w:rsidR="00A34EB0">
        <w:t>firstly</w:t>
      </w:r>
      <w:r w:rsidR="00476FAB">
        <w:t>,</w:t>
      </w:r>
      <w:r w:rsidR="00A34EB0">
        <w:t xml:space="preserve"> that </w:t>
      </w:r>
      <w:r>
        <w:t xml:space="preserve">the benefits of the scheme </w:t>
      </w:r>
      <w:r w:rsidR="007B5ED9">
        <w:t xml:space="preserve">are </w:t>
      </w:r>
      <w:r>
        <w:t xml:space="preserve">in line with Government policy </w:t>
      </w:r>
      <w:r w:rsidR="007B5ED9">
        <w:t xml:space="preserve">and </w:t>
      </w:r>
      <w:r>
        <w:t xml:space="preserve">would outweigh the Council’s </w:t>
      </w:r>
      <w:r w:rsidR="008E742D">
        <w:t xml:space="preserve">findings of harm to heritage and townscape; </w:t>
      </w:r>
      <w:r w:rsidR="00A34EB0">
        <w:t xml:space="preserve">secondly, that </w:t>
      </w:r>
      <w:r w:rsidR="008E742D">
        <w:t xml:space="preserve">there would in </w:t>
      </w:r>
      <w:r w:rsidR="00A34EB0">
        <w:t xml:space="preserve">achieving those benefits </w:t>
      </w:r>
      <w:r w:rsidR="00862970">
        <w:t xml:space="preserve">be an “inevitable” </w:t>
      </w:r>
      <w:r w:rsidR="007B5ED9">
        <w:t xml:space="preserve">and </w:t>
      </w:r>
      <w:r w:rsidR="00862970">
        <w:t>significant degree of change and densification.</w:t>
      </w:r>
    </w:p>
    <w:p w14:paraId="1E42EE39" w14:textId="121FAC2D" w:rsidR="00862970" w:rsidRDefault="00862970" w:rsidP="00862970">
      <w:pPr>
        <w:pStyle w:val="ListParagraph"/>
        <w:spacing w:line="360" w:lineRule="auto"/>
        <w:jc w:val="both"/>
      </w:pPr>
    </w:p>
    <w:p w14:paraId="6269EF6C" w14:textId="59D6231C" w:rsidR="00862970" w:rsidRDefault="00310CB3" w:rsidP="00B3111C">
      <w:pPr>
        <w:pStyle w:val="ListParagraph"/>
        <w:numPr>
          <w:ilvl w:val="0"/>
          <w:numId w:val="1"/>
        </w:numPr>
        <w:spacing w:line="360" w:lineRule="auto"/>
        <w:jc w:val="both"/>
      </w:pPr>
      <w:r>
        <w:lastRenderedPageBreak/>
        <w:t xml:space="preserve">That change is </w:t>
      </w:r>
      <w:r w:rsidR="007B5ED9">
        <w:t xml:space="preserve">not just a local issue. It is </w:t>
      </w:r>
      <w:r>
        <w:t xml:space="preserve">part of something which is of genuinely national importance. </w:t>
      </w:r>
      <w:r w:rsidR="00CE66AC">
        <w:t>In March 2024, the previous Government set out the vision for Cambridge as “Europe’s science capital”</w:t>
      </w:r>
      <w:r w:rsidR="0044529B">
        <w:t xml:space="preserve"> in its </w:t>
      </w:r>
      <w:r w:rsidR="0044529B">
        <w:rPr>
          <w:i/>
          <w:iCs/>
        </w:rPr>
        <w:t>“Case for Cambridge”</w:t>
      </w:r>
      <w:r w:rsidR="0044529B">
        <w:t xml:space="preserve"> (CD9.14). That vision is shared by the </w:t>
      </w:r>
      <w:r w:rsidR="005736F0">
        <w:t>current Government, with the Minister stating in August 202</w:t>
      </w:r>
      <w:r w:rsidR="00961964">
        <w:t xml:space="preserve">4 that </w:t>
      </w:r>
      <w:r w:rsidR="00961964">
        <w:rPr>
          <w:i/>
          <w:iCs/>
        </w:rPr>
        <w:t>“Greater Cambridge has a vital role to play in this Government’s mission to kickstart economic growth”</w:t>
      </w:r>
      <w:r w:rsidR="00961964">
        <w:t xml:space="preserve">, leading to the establishment of a specific Government vehicle, the </w:t>
      </w:r>
      <w:r w:rsidR="000727D3">
        <w:t xml:space="preserve">Cambridge Growth Company (CGC). In appointing Peter Freeman to Chair the CGC, the Minister restated the point: </w:t>
      </w:r>
      <w:r w:rsidR="009612ED">
        <w:rPr>
          <w:i/>
          <w:iCs/>
        </w:rPr>
        <w:t>“Cambridge is one of the UK’s most important economic assets, a global centre of innova</w:t>
      </w:r>
      <w:r w:rsidR="00E86C61">
        <w:rPr>
          <w:i/>
          <w:iCs/>
        </w:rPr>
        <w:t>tion home to the largest life science cluster in Europe … the success of Greater Cambridge is a national priority for this government”</w:t>
      </w:r>
      <w:r w:rsidR="006F0857">
        <w:rPr>
          <w:i/>
          <w:iCs/>
        </w:rPr>
        <w:t>.</w:t>
      </w:r>
    </w:p>
    <w:p w14:paraId="4E01326A" w14:textId="77777777" w:rsidR="006F0857" w:rsidRDefault="006F0857" w:rsidP="006F0857">
      <w:pPr>
        <w:pStyle w:val="ListParagraph"/>
      </w:pPr>
    </w:p>
    <w:p w14:paraId="0AD950E6" w14:textId="71B8321D" w:rsidR="006F0857" w:rsidRDefault="00B45886" w:rsidP="00B3111C">
      <w:pPr>
        <w:pStyle w:val="ListParagraph"/>
        <w:numPr>
          <w:ilvl w:val="0"/>
          <w:numId w:val="1"/>
        </w:numPr>
        <w:spacing w:line="360" w:lineRule="auto"/>
        <w:jc w:val="both"/>
      </w:pPr>
      <w:r>
        <w:t xml:space="preserve">The application proposals </w:t>
      </w:r>
      <w:r w:rsidR="00B576BA">
        <w:t xml:space="preserve">would contribute to these aims. Were there any doubt about their visibility and the recognition of their importance at a national level, </w:t>
      </w:r>
      <w:r w:rsidR="00C709EA">
        <w:t>that was removed when express reference was made to the Beehive Centre re-development in the Chancellor’s speech on 28 January 2025</w:t>
      </w:r>
      <w:r w:rsidR="00CB4208">
        <w:t xml:space="preserve"> (CD9.2</w:t>
      </w:r>
      <w:r w:rsidR="004E2674">
        <w:t>6)</w:t>
      </w:r>
      <w:r w:rsidR="00C709EA">
        <w:t>, in which she identified the benefits of the EA having lifted their opposition</w:t>
      </w:r>
      <w:r w:rsidR="00E70BD0">
        <w:t xml:space="preserve">, thereby unlocking </w:t>
      </w:r>
      <w:r w:rsidR="00E70BD0">
        <w:rPr>
          <w:i/>
          <w:iCs/>
        </w:rPr>
        <w:t>“office and laboratory space in Cambridge City Centre</w:t>
      </w:r>
      <w:r w:rsidR="00CB4208">
        <w:rPr>
          <w:i/>
          <w:iCs/>
        </w:rPr>
        <w:t>”</w:t>
      </w:r>
      <w:r w:rsidR="00CB4208">
        <w:t xml:space="preserve">. The Green Paper on Industrial Strategy (CD9.13) </w:t>
      </w:r>
      <w:r w:rsidR="004E2674">
        <w:t xml:space="preserve">had already spoken, in the context of the need for growth, of Cambridge as a high-performing life science cluster where </w:t>
      </w:r>
      <w:r w:rsidR="004E2674">
        <w:rPr>
          <w:i/>
          <w:iCs/>
        </w:rPr>
        <w:t>“planning constraints hold back growth”</w:t>
      </w:r>
      <w:r w:rsidR="004E2674">
        <w:t>.</w:t>
      </w:r>
    </w:p>
    <w:p w14:paraId="2B20F951" w14:textId="77777777" w:rsidR="004E2674" w:rsidRDefault="004E2674" w:rsidP="004E2674">
      <w:pPr>
        <w:pStyle w:val="ListParagraph"/>
      </w:pPr>
    </w:p>
    <w:p w14:paraId="143E0A61" w14:textId="1ADB86AB" w:rsidR="004E2674" w:rsidRDefault="00C42166" w:rsidP="00B3111C">
      <w:pPr>
        <w:pStyle w:val="ListParagraph"/>
        <w:numPr>
          <w:ilvl w:val="0"/>
          <w:numId w:val="1"/>
        </w:numPr>
        <w:spacing w:line="360" w:lineRule="auto"/>
        <w:jc w:val="both"/>
      </w:pPr>
      <w:r>
        <w:t>However, the application proposals comply with the NPPF and with the development plan read as a whole. Mr Kaddish for the Applicant identifies some minor non-</w:t>
      </w:r>
      <w:r w:rsidR="00896CF9">
        <w:t xml:space="preserve">compliances which flow from the rather absolute terms of some of the adopted policies, but these are outweighed when taking into account the strategic policies for employment, growth, place-making and sustainability. </w:t>
      </w:r>
      <w:r w:rsidR="00683ACF">
        <w:t xml:space="preserve">It is agreed that there is a need for the laboratory and office space (SCG paragraph 7.12, CD6.03) and that </w:t>
      </w:r>
      <w:r w:rsidR="00A878E2">
        <w:t xml:space="preserve">the scheme would be highly sustainable </w:t>
      </w:r>
      <w:r w:rsidR="00123947">
        <w:t xml:space="preserve">giving rise to a </w:t>
      </w:r>
      <w:r w:rsidR="00AD047E">
        <w:t xml:space="preserve">significant range of benefits </w:t>
      </w:r>
      <w:r w:rsidR="00A878E2">
        <w:t>(SCG 7.48</w:t>
      </w:r>
      <w:r w:rsidR="00123947">
        <w:t>, 8.3</w:t>
      </w:r>
      <w:r w:rsidR="00A878E2">
        <w:t>).</w:t>
      </w:r>
    </w:p>
    <w:p w14:paraId="460171D9" w14:textId="77777777" w:rsidR="00C51837" w:rsidRDefault="00C51837" w:rsidP="00C51837">
      <w:pPr>
        <w:pStyle w:val="ListParagraph"/>
      </w:pPr>
    </w:p>
    <w:p w14:paraId="7EA2C8E2" w14:textId="392C92CF" w:rsidR="00C51837" w:rsidRDefault="00C51837" w:rsidP="00B3111C">
      <w:pPr>
        <w:pStyle w:val="ListParagraph"/>
        <w:numPr>
          <w:ilvl w:val="0"/>
          <w:numId w:val="1"/>
        </w:numPr>
        <w:spacing w:line="360" w:lineRule="auto"/>
        <w:jc w:val="both"/>
      </w:pPr>
      <w:r>
        <w:t xml:space="preserve">Mr Kaddish also comments (see his paragraphs </w:t>
      </w:r>
      <w:r w:rsidR="00AD047E">
        <w:t>3.19-21) about the way that the</w:t>
      </w:r>
      <w:r w:rsidR="00F04D35">
        <w:t xml:space="preserve"> </w:t>
      </w:r>
      <w:r w:rsidR="00AD047E">
        <w:t xml:space="preserve">issue of living conditions </w:t>
      </w:r>
      <w:r w:rsidR="002679CB">
        <w:t xml:space="preserve">was identified by officers as the basis for refusal of the application late in the </w:t>
      </w:r>
      <w:r w:rsidR="000E3C6D">
        <w:t>process</w:t>
      </w:r>
      <w:r w:rsidR="002679CB">
        <w:t xml:space="preserve">, </w:t>
      </w:r>
      <w:r w:rsidR="00C60F73">
        <w:t xml:space="preserve">and </w:t>
      </w:r>
      <w:r w:rsidR="00BC61CA">
        <w:t xml:space="preserve">moreover </w:t>
      </w:r>
      <w:r w:rsidR="008234C2">
        <w:t>at a point when</w:t>
      </w:r>
      <w:r w:rsidR="00C60F73">
        <w:t xml:space="preserve"> discussion between daylight experts had </w:t>
      </w:r>
      <w:r w:rsidR="008234C2">
        <w:t xml:space="preserve">only just </w:t>
      </w:r>
      <w:r w:rsidR="00C60F73">
        <w:t>begun</w:t>
      </w:r>
      <w:r w:rsidR="008234C2">
        <w:t xml:space="preserve">. That may </w:t>
      </w:r>
      <w:r w:rsidR="00BC61CA">
        <w:t xml:space="preserve">well </w:t>
      </w:r>
      <w:r w:rsidR="008234C2">
        <w:t xml:space="preserve">have been unfortunate, </w:t>
      </w:r>
      <w:r w:rsidR="00BC61CA">
        <w:t xml:space="preserve">as Mr Kaddish notes; </w:t>
      </w:r>
      <w:r w:rsidR="008234C2">
        <w:t xml:space="preserve">but </w:t>
      </w:r>
      <w:r w:rsidR="006E5EBC">
        <w:t xml:space="preserve">the evidence on the main issue between the Council and the Applicant </w:t>
      </w:r>
      <w:r w:rsidR="00BC61CA">
        <w:t xml:space="preserve">now </w:t>
      </w:r>
      <w:r w:rsidR="006E5EBC">
        <w:t>clearly points to the acceptability of the daylight/sunlight and outlook points.</w:t>
      </w:r>
    </w:p>
    <w:p w14:paraId="1BF11A77" w14:textId="77777777" w:rsidR="006E5EBC" w:rsidRDefault="006E5EBC" w:rsidP="006E5EBC">
      <w:pPr>
        <w:pStyle w:val="ListParagraph"/>
      </w:pPr>
    </w:p>
    <w:p w14:paraId="71C7E034" w14:textId="2E5140F8" w:rsidR="006E5EBC" w:rsidRDefault="00331759" w:rsidP="00B3111C">
      <w:pPr>
        <w:pStyle w:val="ListParagraph"/>
        <w:numPr>
          <w:ilvl w:val="0"/>
          <w:numId w:val="1"/>
        </w:numPr>
        <w:spacing w:line="360" w:lineRule="auto"/>
        <w:jc w:val="both"/>
      </w:pPr>
      <w:r>
        <w:t xml:space="preserve">I cover the issue in opening to focus on the narrowness of the point and also how it sits in the planning balance. </w:t>
      </w:r>
    </w:p>
    <w:p w14:paraId="470FA34F" w14:textId="77777777" w:rsidR="00331759" w:rsidRDefault="00331759" w:rsidP="00331759">
      <w:pPr>
        <w:pStyle w:val="ListParagraph"/>
      </w:pPr>
    </w:p>
    <w:p w14:paraId="1616C701" w14:textId="21C8C2FE" w:rsidR="00B323F7" w:rsidRDefault="00331759" w:rsidP="00B3111C">
      <w:pPr>
        <w:pStyle w:val="ListParagraph"/>
        <w:numPr>
          <w:ilvl w:val="0"/>
          <w:numId w:val="1"/>
        </w:numPr>
        <w:spacing w:line="360" w:lineRule="auto"/>
        <w:jc w:val="both"/>
      </w:pPr>
      <w:r>
        <w:lastRenderedPageBreak/>
        <w:t xml:space="preserve">First, </w:t>
      </w:r>
      <w:r w:rsidR="00AA3A03">
        <w:t xml:space="preserve">there is no </w:t>
      </w:r>
      <w:r w:rsidR="009C45F6">
        <w:t xml:space="preserve">apparent </w:t>
      </w:r>
      <w:r w:rsidR="00AA3A03">
        <w:t xml:space="preserve">dispute about the </w:t>
      </w:r>
      <w:r w:rsidR="009C45F6">
        <w:t xml:space="preserve">reliability of the </w:t>
      </w:r>
      <w:r w:rsidR="00AA3A03">
        <w:t xml:space="preserve">numerical values derived from application of the BRE guidance to </w:t>
      </w:r>
      <w:r w:rsidR="00F128AA">
        <w:t xml:space="preserve">an assessment of </w:t>
      </w:r>
      <w:r w:rsidR="009C45F6">
        <w:t>this scheme</w:t>
      </w:r>
      <w:r w:rsidR="00F128AA">
        <w:t>’s effect on daylight and sunlight</w:t>
      </w:r>
      <w:r w:rsidR="009C45F6">
        <w:t xml:space="preserve">. Mr Dias (paragraphs 3.12-3.14) </w:t>
      </w:r>
      <w:r w:rsidR="00DC3B15">
        <w:t>sets out the collaboration between him and Mr Lonergan in relation to the iterations and small corrections to the model. Mr Dias says that he has conducted “spot checks” and although he declines to verify the entire model, he does not say that the modelled results are in any way erroneous as applications of the BRE guidance.</w:t>
      </w:r>
      <w:r w:rsidR="00B323F7">
        <w:t xml:space="preserve">  That set of results comprises what tends to be called ‘Stage 1’ in the two-stage assessment of daylight/sunlight</w:t>
      </w:r>
      <w:r w:rsidR="00C355C4">
        <w:t xml:space="preserve"> effects. </w:t>
      </w:r>
    </w:p>
    <w:p w14:paraId="02DD2D3C" w14:textId="77777777" w:rsidR="00B323F7" w:rsidRDefault="00B323F7" w:rsidP="00B323F7">
      <w:pPr>
        <w:pStyle w:val="ListParagraph"/>
      </w:pPr>
    </w:p>
    <w:p w14:paraId="3A82A7F1" w14:textId="77777777" w:rsidR="0020081C" w:rsidRDefault="003606A6" w:rsidP="00B3111C">
      <w:pPr>
        <w:pStyle w:val="ListParagraph"/>
        <w:numPr>
          <w:ilvl w:val="0"/>
          <w:numId w:val="1"/>
        </w:numPr>
        <w:spacing w:line="360" w:lineRule="auto"/>
        <w:jc w:val="both"/>
      </w:pPr>
      <w:r>
        <w:t xml:space="preserve">It is of course important to bear in mind that the </w:t>
      </w:r>
      <w:r w:rsidR="009A0E5D">
        <w:t xml:space="preserve">BRE numerical results are </w:t>
      </w:r>
      <w:r w:rsidR="00D226DA">
        <w:t>(a) not policy or even mandatory guidance, but aids to design which should be applied flexibly, as the document itself indicates, and (b) diminutions in light, even those which go beyond the guidance levels</w:t>
      </w:r>
      <w:r w:rsidR="00025B6C">
        <w:t xml:space="preserve"> - </w:t>
      </w:r>
      <w:r w:rsidR="00D226DA">
        <w:t xml:space="preserve"> for instance 27% VSC</w:t>
      </w:r>
      <w:r w:rsidR="00025B6C">
        <w:t xml:space="preserve"> -</w:t>
      </w:r>
      <w:r w:rsidR="00D226DA">
        <w:t xml:space="preserve"> are not to be equated with unacceptably harmful effects</w:t>
      </w:r>
      <w:r w:rsidR="00025B6C">
        <w:t>. T</w:t>
      </w:r>
      <w:r w:rsidR="00D226DA">
        <w:t>hat is the role of the second stage judgements</w:t>
      </w:r>
      <w:r w:rsidR="00DC2DF6">
        <w:t>; Mr Dias explains (paragraph 5.4) that it is Mr Martin who carries out that stage of the assessment on behalf of the Council</w:t>
      </w:r>
      <w:r w:rsidR="00D226DA">
        <w:t>.</w:t>
      </w:r>
      <w:r w:rsidR="002772CE">
        <w:t xml:space="preserve">  </w:t>
      </w:r>
    </w:p>
    <w:p w14:paraId="4171AB02" w14:textId="77777777" w:rsidR="0020081C" w:rsidRDefault="0020081C" w:rsidP="0020081C">
      <w:pPr>
        <w:pStyle w:val="ListParagraph"/>
      </w:pPr>
    </w:p>
    <w:p w14:paraId="3C54A32A" w14:textId="4A50D1B3" w:rsidR="003606A6" w:rsidRDefault="002772CE" w:rsidP="00B3111C">
      <w:pPr>
        <w:pStyle w:val="ListParagraph"/>
        <w:numPr>
          <w:ilvl w:val="0"/>
          <w:numId w:val="1"/>
        </w:numPr>
        <w:spacing w:line="360" w:lineRule="auto"/>
        <w:jc w:val="both"/>
      </w:pPr>
      <w:r>
        <w:t xml:space="preserve">One also needs to bear in mind </w:t>
      </w:r>
      <w:r w:rsidR="0020081C">
        <w:t xml:space="preserve">(as Mr Lonergan observes) </w:t>
      </w:r>
      <w:r>
        <w:t xml:space="preserve">the small minority of </w:t>
      </w:r>
      <w:r w:rsidR="00FB6FBD">
        <w:t xml:space="preserve">windows and homes around the Site which, on the Parameters scheme, fall into what is referred to in the BRE guidance as </w:t>
      </w:r>
      <w:r w:rsidR="003C3686">
        <w:t xml:space="preserve">the category of </w:t>
      </w:r>
      <w:r w:rsidR="00FB6FBD">
        <w:t>‘major adverse’ change.</w:t>
      </w:r>
    </w:p>
    <w:p w14:paraId="16044D0A" w14:textId="77777777" w:rsidR="003606A6" w:rsidRDefault="003606A6" w:rsidP="003606A6">
      <w:pPr>
        <w:pStyle w:val="ListParagraph"/>
      </w:pPr>
    </w:p>
    <w:p w14:paraId="0396B0F7" w14:textId="31B57462" w:rsidR="00331759" w:rsidRDefault="00C355C4" w:rsidP="00B3111C">
      <w:pPr>
        <w:pStyle w:val="ListParagraph"/>
        <w:numPr>
          <w:ilvl w:val="0"/>
          <w:numId w:val="1"/>
        </w:numPr>
        <w:spacing w:line="360" w:lineRule="auto"/>
        <w:jc w:val="both"/>
      </w:pPr>
      <w:r>
        <w:t>When one moves on</w:t>
      </w:r>
      <w:r w:rsidR="00D226DA">
        <w:t xml:space="preserve"> </w:t>
      </w:r>
      <w:r>
        <w:t>to th</w:t>
      </w:r>
      <w:r w:rsidR="00D226DA">
        <w:t>at</w:t>
      </w:r>
      <w:r>
        <w:t xml:space="preserve"> subsequent stage of the process, a number of contextual matters </w:t>
      </w:r>
      <w:r w:rsidR="003606A6">
        <w:t>may be taken into account. This is whe</w:t>
      </w:r>
      <w:r w:rsidR="00D226DA">
        <w:t xml:space="preserve">re the Council and the Applicant </w:t>
      </w:r>
      <w:r w:rsidR="002772CE">
        <w:t xml:space="preserve">disagree. </w:t>
      </w:r>
      <w:r w:rsidR="00FB6FBD">
        <w:t xml:space="preserve">Mr Dias </w:t>
      </w:r>
      <w:r w:rsidR="00E83DFB">
        <w:t xml:space="preserve">largely </w:t>
      </w:r>
      <w:r w:rsidR="00CD4865">
        <w:t xml:space="preserve">rejects the use of any alternative target on the basis of his assessment of the </w:t>
      </w:r>
      <w:r w:rsidR="00B035C2">
        <w:t xml:space="preserve">area surrounding the Site as </w:t>
      </w:r>
      <w:r w:rsidR="00185A94">
        <w:t xml:space="preserve">“low-rise” and </w:t>
      </w:r>
      <w:r w:rsidR="000D0A10">
        <w:t xml:space="preserve">“more sub-urban” (paragraph 7.4), and the Site not </w:t>
      </w:r>
      <w:r w:rsidR="003C3686">
        <w:t>being</w:t>
      </w:r>
      <w:r w:rsidR="000D0A10">
        <w:t xml:space="preserve"> “within an allocated regeneration or opportunity area or similar”</w:t>
      </w:r>
      <w:r w:rsidR="00EE475D">
        <w:t>.</w:t>
      </w:r>
    </w:p>
    <w:p w14:paraId="773C0173" w14:textId="77777777" w:rsidR="00EE475D" w:rsidRDefault="00EE475D" w:rsidP="00EE475D">
      <w:pPr>
        <w:pStyle w:val="ListParagraph"/>
      </w:pPr>
    </w:p>
    <w:p w14:paraId="2CA3F7FC" w14:textId="77777777" w:rsidR="00421CF4" w:rsidRDefault="00EE475D" w:rsidP="00B3111C">
      <w:pPr>
        <w:pStyle w:val="ListParagraph"/>
        <w:numPr>
          <w:ilvl w:val="0"/>
          <w:numId w:val="1"/>
        </w:numPr>
        <w:spacing w:line="360" w:lineRule="auto"/>
        <w:jc w:val="both"/>
      </w:pPr>
      <w:r>
        <w:t xml:space="preserve">That sits uncomfortably with the shared aspirations for the re-development of the Site </w:t>
      </w:r>
      <w:r w:rsidR="00EE2EEB">
        <w:t>and the likely need for intensification</w:t>
      </w:r>
      <w:r w:rsidR="009F5F69">
        <w:t xml:space="preserve"> of built form on it. It </w:t>
      </w:r>
      <w:r w:rsidR="00956F7E">
        <w:t xml:space="preserve">also </w:t>
      </w:r>
      <w:r w:rsidR="009F5F69">
        <w:t xml:space="preserve">sits awkwardly with Mr Dias’ own </w:t>
      </w:r>
      <w:r w:rsidR="00F34D6A">
        <w:t xml:space="preserve">recognition (in his ‘peer review’ of the Applicant’s work) that </w:t>
      </w:r>
      <w:r w:rsidR="00F816BD">
        <w:rPr>
          <w:i/>
          <w:iCs/>
        </w:rPr>
        <w:t xml:space="preserve">“[f]or meaningful re-development, there is the potential that some reductions in daylight and sunlight may not meet BRE </w:t>
      </w:r>
      <w:r w:rsidR="005452E9">
        <w:rPr>
          <w:i/>
          <w:iCs/>
        </w:rPr>
        <w:t>default target criteria…”</w:t>
      </w:r>
      <w:r w:rsidR="005452E9">
        <w:t xml:space="preserve">. </w:t>
      </w:r>
    </w:p>
    <w:p w14:paraId="296D43A2" w14:textId="77777777" w:rsidR="00421CF4" w:rsidRDefault="00421CF4" w:rsidP="00421CF4">
      <w:pPr>
        <w:pStyle w:val="ListParagraph"/>
      </w:pPr>
    </w:p>
    <w:p w14:paraId="35167DD2" w14:textId="46F7A9BD" w:rsidR="00BC73CF" w:rsidRDefault="00421CF4" w:rsidP="00B3111C">
      <w:pPr>
        <w:pStyle w:val="ListParagraph"/>
        <w:numPr>
          <w:ilvl w:val="0"/>
          <w:numId w:val="1"/>
        </w:numPr>
        <w:spacing w:line="360" w:lineRule="auto"/>
        <w:jc w:val="both"/>
      </w:pPr>
      <w:r>
        <w:t xml:space="preserve">However, </w:t>
      </w:r>
      <w:r w:rsidR="00ED4A3F">
        <w:t xml:space="preserve">Mr Dias rejects the case put by Mr Lonergan that on this </w:t>
      </w:r>
      <w:r w:rsidR="005C2ABA">
        <w:t xml:space="preserve">urban, highly-sustainable, PDL site, </w:t>
      </w:r>
      <w:r w:rsidR="00AB1939">
        <w:t>(</w:t>
      </w:r>
      <w:r w:rsidR="005C2ABA">
        <w:t xml:space="preserve">where the labs and office use is agreed in principle and densification of built form is accepted as </w:t>
      </w:r>
      <w:r w:rsidR="00D93DF9">
        <w:t>a way of making effective use of urban land</w:t>
      </w:r>
      <w:r w:rsidR="00AB1939">
        <w:t>)</w:t>
      </w:r>
      <w:r w:rsidR="00D93DF9">
        <w:t xml:space="preserve">, anything different from the “BRE default target criteria” should be applied. </w:t>
      </w:r>
    </w:p>
    <w:p w14:paraId="3AE5A95F" w14:textId="77777777" w:rsidR="00BC73CF" w:rsidRDefault="00BC73CF" w:rsidP="00BC73CF">
      <w:pPr>
        <w:pStyle w:val="ListParagraph"/>
      </w:pPr>
    </w:p>
    <w:p w14:paraId="2256CE7B" w14:textId="27CE57C1" w:rsidR="00EE475D" w:rsidRDefault="00B74EE4" w:rsidP="00B3111C">
      <w:pPr>
        <w:pStyle w:val="ListParagraph"/>
        <w:numPr>
          <w:ilvl w:val="0"/>
          <w:numId w:val="1"/>
        </w:numPr>
        <w:spacing w:line="360" w:lineRule="auto"/>
        <w:jc w:val="both"/>
      </w:pPr>
      <w:r>
        <w:lastRenderedPageBreak/>
        <w:t>The reality is that a</w:t>
      </w:r>
      <w:r w:rsidR="00710133">
        <w:t xml:space="preserve"> policy-compliant </w:t>
      </w:r>
      <w:r>
        <w:t xml:space="preserve">optimisation of such a good </w:t>
      </w:r>
      <w:r w:rsidR="00AB1939">
        <w:t xml:space="preserve">urban </w:t>
      </w:r>
      <w:r>
        <w:t xml:space="preserve">site to meet identified needs should be judged by applying a </w:t>
      </w:r>
      <w:r w:rsidR="00710133">
        <w:t>more reasonable benchmark, as Mr Lonergan suggests</w:t>
      </w:r>
      <w:r w:rsidR="00BC73CF">
        <w:t>. That is</w:t>
      </w:r>
      <w:r w:rsidR="00200F6B">
        <w:t xml:space="preserve"> in line with consideration of the point in a number of notable appeal decisions, such as Ms Downes’ recent Harleyford Road decision (</w:t>
      </w:r>
      <w:r w:rsidR="00215A93">
        <w:t xml:space="preserve">CD10.9) </w:t>
      </w:r>
      <w:r w:rsidR="00BC73CF">
        <w:t>where she said this:</w:t>
      </w:r>
    </w:p>
    <w:p w14:paraId="499F0722" w14:textId="77777777" w:rsidR="00BC73CF" w:rsidRDefault="00BC73CF" w:rsidP="00BC73CF">
      <w:pPr>
        <w:pStyle w:val="ListParagraph"/>
      </w:pPr>
    </w:p>
    <w:p w14:paraId="6D493406" w14:textId="05D95573" w:rsidR="00BC73CF" w:rsidRPr="00A35A92" w:rsidRDefault="00BC73CF" w:rsidP="00BC73CF">
      <w:pPr>
        <w:pStyle w:val="ListParagraph"/>
      </w:pPr>
      <w:r>
        <w:rPr>
          <w:i/>
          <w:iCs/>
        </w:rPr>
        <w:t xml:space="preserve">“the appeal scheme would result in noticeable effects on the daylight received by the aforementioned properties. However, noticeable does not necessarily mean unacceptable. The BRE guide makes clear that its values are advisory </w:t>
      </w:r>
      <w:r w:rsidR="009C1DBC">
        <w:rPr>
          <w:i/>
          <w:iCs/>
        </w:rPr>
        <w:t xml:space="preserve">and should be considered flexibly. The appeal involves a brownfield site within a highly accessible location and the application of the default values in terms of VSC would not allow a development that would optimise the </w:t>
      </w:r>
      <w:r w:rsidR="00CF597B">
        <w:rPr>
          <w:i/>
          <w:iCs/>
        </w:rPr>
        <w:t xml:space="preserve">land resource … I agree with the Council and the Appellant that the BRE default value of 27% for VSC </w:t>
      </w:r>
      <w:r w:rsidR="00162AC2">
        <w:rPr>
          <w:i/>
          <w:iCs/>
        </w:rPr>
        <w:t>would not be appropriate in this particular case, for the reasons I have already given. If this were to be observed, it would unacceptably constrain what could be done with the land</w:t>
      </w:r>
      <w:r w:rsidR="00C72C31">
        <w:rPr>
          <w:i/>
          <w:iCs/>
        </w:rPr>
        <w:t xml:space="preserve">. On the other hand, account must be taken of the townscape context and character. In such circumstances, I agree with the Council that a VSC value of 18% for living and dining rooms and </w:t>
      </w:r>
      <w:r w:rsidR="00A35A92">
        <w:rPr>
          <w:i/>
          <w:iCs/>
        </w:rPr>
        <w:t>a VSC value of 16% for bedrooms would be appropriate and reasonable in this case.”</w:t>
      </w:r>
    </w:p>
    <w:p w14:paraId="2588BF02" w14:textId="77777777" w:rsidR="00BC73CF" w:rsidRDefault="00BC73CF" w:rsidP="00BC73CF">
      <w:pPr>
        <w:pStyle w:val="ListParagraph"/>
      </w:pPr>
    </w:p>
    <w:p w14:paraId="4DBB1634" w14:textId="77777777" w:rsidR="00BC73CF" w:rsidRDefault="00BC73CF" w:rsidP="00BC73CF">
      <w:pPr>
        <w:pStyle w:val="ListParagraph"/>
      </w:pPr>
    </w:p>
    <w:p w14:paraId="01D453C9" w14:textId="79FEF89C" w:rsidR="00BC73CF" w:rsidRDefault="00AA592B" w:rsidP="00B3111C">
      <w:pPr>
        <w:pStyle w:val="ListParagraph"/>
        <w:numPr>
          <w:ilvl w:val="0"/>
          <w:numId w:val="1"/>
        </w:numPr>
        <w:spacing w:line="360" w:lineRule="auto"/>
        <w:jc w:val="both"/>
      </w:pPr>
      <w:r>
        <w:t>Mr Dias’s work, including his “mirror” exercise</w:t>
      </w:r>
      <w:r w:rsidR="00AB1939">
        <w:t>, in which</w:t>
      </w:r>
      <w:r>
        <w:t xml:space="preserve"> he seeks to derive a reasonable retained VSC level by showing what 2-3 storey housing would be like on the Site,</w:t>
      </w:r>
      <w:r w:rsidR="00E34800">
        <w:t xml:space="preserve"> makes the mistake that Ms Downes in the Harleyford Road appeal was seeking to avoid – </w:t>
      </w:r>
      <w:r w:rsidR="00AB1939">
        <w:t xml:space="preserve">imposing </w:t>
      </w:r>
      <w:r w:rsidR="00E34800">
        <w:t xml:space="preserve">unwarranted constraints on </w:t>
      </w:r>
      <w:r w:rsidR="00AB1939">
        <w:t xml:space="preserve">the </w:t>
      </w:r>
      <w:r w:rsidR="00753879">
        <w:t xml:space="preserve">effective use of land to meet needs by applying the default BRE VSC figure. </w:t>
      </w:r>
    </w:p>
    <w:p w14:paraId="3B819551" w14:textId="51BF1347" w:rsidR="00753879" w:rsidRDefault="00753879" w:rsidP="00753879">
      <w:pPr>
        <w:pStyle w:val="ListParagraph"/>
        <w:spacing w:line="360" w:lineRule="auto"/>
        <w:jc w:val="both"/>
      </w:pPr>
    </w:p>
    <w:p w14:paraId="007C12DD" w14:textId="149FA023" w:rsidR="00753879" w:rsidRDefault="00753879" w:rsidP="00B3111C">
      <w:pPr>
        <w:pStyle w:val="ListParagraph"/>
        <w:numPr>
          <w:ilvl w:val="0"/>
          <w:numId w:val="1"/>
        </w:numPr>
        <w:spacing w:line="360" w:lineRule="auto"/>
        <w:jc w:val="both"/>
      </w:pPr>
      <w:r>
        <w:t xml:space="preserve">By contrast, Mr Lonergan, in addition to </w:t>
      </w:r>
      <w:r w:rsidR="00AC32E2">
        <w:t>examining a range of Cambridge-specific retained VSC levels, which all (in their varying ways) exhibit the effect of making best use of the scarce urban land in Cambridge</w:t>
      </w:r>
      <w:r w:rsidR="00DF4ABC">
        <w:t xml:space="preserve">, reaches the conclusion that the optimisation of the Site to meet the needs identified </w:t>
      </w:r>
      <w:r w:rsidR="00CA2E08">
        <w:t xml:space="preserve">might best be tested by applying a yardstick of 18% for living/dining and 16% VSC for bedrooms. </w:t>
      </w:r>
    </w:p>
    <w:p w14:paraId="58116FCE" w14:textId="77777777" w:rsidR="00E0076D" w:rsidRDefault="00E0076D" w:rsidP="00E0076D">
      <w:pPr>
        <w:pStyle w:val="ListParagraph"/>
      </w:pPr>
    </w:p>
    <w:p w14:paraId="56E2DBA7" w14:textId="459484DD" w:rsidR="00E0076D" w:rsidRDefault="00E0076D" w:rsidP="00B3111C">
      <w:pPr>
        <w:pStyle w:val="ListParagraph"/>
        <w:numPr>
          <w:ilvl w:val="0"/>
          <w:numId w:val="1"/>
        </w:numPr>
        <w:spacing w:line="360" w:lineRule="auto"/>
        <w:jc w:val="both"/>
      </w:pPr>
      <w:r>
        <w:t xml:space="preserve">The Parameter plans scheme does very well against that yardstick, as he shows. </w:t>
      </w:r>
      <w:r w:rsidR="009E2A55">
        <w:t>Across the 774 windows and 476 habitable rooms tested, only three dining/kitchen spaces (at 171</w:t>
      </w:r>
      <w:r w:rsidR="00A656EF">
        <w:t xml:space="preserve"> to 175 St Matthew’s Gardens</w:t>
      </w:r>
      <w:r w:rsidR="00AB1939">
        <w:t>)</w:t>
      </w:r>
      <w:r w:rsidR="00A656EF">
        <w:t xml:space="preserve">, and two bedrooms (at 165 and 167 St Matthew’s Gardens) experience retained VSC levels below the alternative benchmark levels. </w:t>
      </w:r>
      <w:r w:rsidR="007C2AA2">
        <w:t xml:space="preserve">In all cases, the nature of the affected space and their existing specific constraints mean that there will be little effect on their use or amenity. </w:t>
      </w:r>
    </w:p>
    <w:p w14:paraId="577D6828" w14:textId="77777777" w:rsidR="009412F7" w:rsidRDefault="009412F7" w:rsidP="009412F7">
      <w:pPr>
        <w:pStyle w:val="ListParagraph"/>
      </w:pPr>
    </w:p>
    <w:p w14:paraId="783D01DD" w14:textId="59A0B33F" w:rsidR="009412F7" w:rsidRDefault="00AB1939" w:rsidP="00B3111C">
      <w:pPr>
        <w:pStyle w:val="ListParagraph"/>
        <w:numPr>
          <w:ilvl w:val="0"/>
          <w:numId w:val="1"/>
        </w:numPr>
        <w:spacing w:line="360" w:lineRule="auto"/>
        <w:jc w:val="both"/>
      </w:pPr>
      <w:r>
        <w:t xml:space="preserve">As for </w:t>
      </w:r>
      <w:r w:rsidR="009412F7">
        <w:t xml:space="preserve">the sunlight assessment – of 88 rooms considered, only one room falls below even the default BRE targets, that is the living room of </w:t>
      </w:r>
      <w:r w:rsidR="00695A72">
        <w:t xml:space="preserve">177 St Matthew’s Gardens; that room lies within a sunken terrace and only falls below the default sunlight target in low-angle winter sunlight. </w:t>
      </w:r>
    </w:p>
    <w:p w14:paraId="3E0B1F1E" w14:textId="77777777" w:rsidR="00695A72" w:rsidRDefault="00695A72" w:rsidP="00695A72">
      <w:pPr>
        <w:pStyle w:val="ListParagraph"/>
      </w:pPr>
    </w:p>
    <w:p w14:paraId="7CE37BA3" w14:textId="14AA1B3F" w:rsidR="00695A72" w:rsidRDefault="00695A72" w:rsidP="00B3111C">
      <w:pPr>
        <w:pStyle w:val="ListParagraph"/>
        <w:numPr>
          <w:ilvl w:val="0"/>
          <w:numId w:val="1"/>
        </w:numPr>
        <w:spacing w:line="360" w:lineRule="auto"/>
        <w:jc w:val="both"/>
      </w:pPr>
      <w:r>
        <w:t xml:space="preserve">As for outside spaces, five gardens would fall below the BRE default sun on the ground benchmark, but only one of those, 38 Silverwood Close, would do so by more than 5%. </w:t>
      </w:r>
      <w:r w:rsidR="00173D15">
        <w:t>As the images in the evidence show (and can be viewed on site), the garden is heavily screened by trees</w:t>
      </w:r>
      <w:r w:rsidR="000169A4">
        <w:t>. Even that garden would meet the default BRE target by 2 April each year as opposed to 31 March (the BRE default)</w:t>
      </w:r>
      <w:r w:rsidR="006F2BEB">
        <w:t>.</w:t>
      </w:r>
    </w:p>
    <w:p w14:paraId="56A8569C" w14:textId="77777777" w:rsidR="006F2BEB" w:rsidRDefault="006F2BEB" w:rsidP="006F2BEB">
      <w:pPr>
        <w:pStyle w:val="ListParagraph"/>
      </w:pPr>
    </w:p>
    <w:p w14:paraId="48CED10B" w14:textId="0C2F208D" w:rsidR="00421CF4" w:rsidRDefault="00F24CD5" w:rsidP="00B3111C">
      <w:pPr>
        <w:pStyle w:val="ListParagraph"/>
        <w:numPr>
          <w:ilvl w:val="0"/>
          <w:numId w:val="1"/>
        </w:numPr>
        <w:spacing w:line="360" w:lineRule="auto"/>
        <w:jc w:val="both"/>
      </w:pPr>
      <w:r>
        <w:t xml:space="preserve">Mr Kaddish deals with outlook </w:t>
      </w:r>
      <w:r w:rsidR="00574016">
        <w:t xml:space="preserve">from neighbouring properties </w:t>
      </w:r>
      <w:r>
        <w:t xml:space="preserve">(privacy and overlooking can be dealt with – indeed must be dealt with, according to the Design Code – at the reserved matters stage). He </w:t>
      </w:r>
      <w:r w:rsidR="00533DE9">
        <w:t xml:space="preserve">assesses the degree to which more open </w:t>
      </w:r>
      <w:r w:rsidR="00574016">
        <w:t>outlook (which due to tree cover only applies to some of the homes in question) would be affected</w:t>
      </w:r>
      <w:r w:rsidR="00AB1939">
        <w:t xml:space="preserve"> by the scheme</w:t>
      </w:r>
      <w:r w:rsidR="00574016">
        <w:t xml:space="preserve">. </w:t>
      </w:r>
      <w:r w:rsidR="00D77514">
        <w:t>The design of buildings 7-10 has been very carefully considered so that the nearest built elements are restricted to three storey maximum height</w:t>
      </w:r>
      <w:r w:rsidR="00E83DFB">
        <w:t xml:space="preserve"> (except the obliquely positioned mobility hub on plot 10)</w:t>
      </w:r>
      <w:r w:rsidR="0012726B">
        <w:t>, and the higher elements are set further bac</w:t>
      </w:r>
      <w:r w:rsidR="003C7ADB">
        <w:t>k. The set-off distances and relationships are all acceptable</w:t>
      </w:r>
      <w:r w:rsidR="001644EE">
        <w:t xml:space="preserve">. </w:t>
      </w:r>
    </w:p>
    <w:p w14:paraId="413679DF" w14:textId="77777777" w:rsidR="00421CF4" w:rsidRDefault="00421CF4" w:rsidP="00421CF4">
      <w:pPr>
        <w:pStyle w:val="ListParagraph"/>
      </w:pPr>
    </w:p>
    <w:p w14:paraId="33D03C5C" w14:textId="3D1AD0F3" w:rsidR="006F2BEB" w:rsidRDefault="001644EE" w:rsidP="00B3111C">
      <w:pPr>
        <w:pStyle w:val="ListParagraph"/>
        <w:numPr>
          <w:ilvl w:val="0"/>
          <w:numId w:val="1"/>
        </w:numPr>
        <w:spacing w:line="360" w:lineRule="auto"/>
        <w:jc w:val="both"/>
      </w:pPr>
      <w:r>
        <w:t>O</w:t>
      </w:r>
      <w:r w:rsidR="003C7ADB">
        <w:t>f course, there will be larger, taller, denser development on the Site than the retail sheds that now occupy it</w:t>
      </w:r>
      <w:r>
        <w:t xml:space="preserve"> and that will to varying degrees be </w:t>
      </w:r>
      <w:r w:rsidR="007C1F11">
        <w:t xml:space="preserve">clearly </w:t>
      </w:r>
      <w:r>
        <w:t>visibl</w:t>
      </w:r>
      <w:r w:rsidR="007C1F11">
        <w:t>e</w:t>
      </w:r>
      <w:r w:rsidR="003C7ADB">
        <w:t xml:space="preserve">; but the change is </w:t>
      </w:r>
      <w:r w:rsidR="00C105B0">
        <w:t xml:space="preserve">part and parcel of taking the opportunity to use a site like this optimally. That does not mean “maximally”, as the design </w:t>
      </w:r>
      <w:r w:rsidR="00080A5B">
        <w:t xml:space="preserve">documents show – that has absolutely not been the design approach here. </w:t>
      </w:r>
    </w:p>
    <w:p w14:paraId="6327DAF2" w14:textId="77777777" w:rsidR="00804E66" w:rsidRDefault="00804E66" w:rsidP="00804E66">
      <w:pPr>
        <w:pStyle w:val="ListParagraph"/>
      </w:pPr>
    </w:p>
    <w:p w14:paraId="36D3DC0D" w14:textId="77777777" w:rsidR="00421CF4" w:rsidRDefault="00804E66" w:rsidP="00B3111C">
      <w:pPr>
        <w:pStyle w:val="ListParagraph"/>
        <w:numPr>
          <w:ilvl w:val="0"/>
          <w:numId w:val="1"/>
        </w:numPr>
        <w:spacing w:line="360" w:lineRule="auto"/>
        <w:jc w:val="both"/>
      </w:pPr>
      <w:r>
        <w:t xml:space="preserve">Finally, as Mr Leonard sets out, there is a very close relationship in this scheme between the Parameters and the Illustrative </w:t>
      </w:r>
      <w:r w:rsidR="007C1F11">
        <w:t>Sc</w:t>
      </w:r>
      <w:r>
        <w:t xml:space="preserve">heme, due to the multiple cross-cutting constraints that would be imposed not just by the parameters themselves but also the design code. The </w:t>
      </w:r>
      <w:r w:rsidR="007C1F11">
        <w:t>I</w:t>
      </w:r>
      <w:r>
        <w:t xml:space="preserve">llustrative </w:t>
      </w:r>
      <w:r w:rsidR="007C1F11">
        <w:t>S</w:t>
      </w:r>
      <w:r>
        <w:t xml:space="preserve">cheme’s effect is plainly acceptable in daylight and sunlight terms, a conclusion to which Mr Dias gestures without having undertaken the work to confirm. He says that the </w:t>
      </w:r>
      <w:r w:rsidR="008E7A06">
        <w:t xml:space="preserve">Illustrative Scheme </w:t>
      </w:r>
      <w:r w:rsidR="008E7A06">
        <w:rPr>
          <w:i/>
          <w:iCs/>
        </w:rPr>
        <w:t xml:space="preserve">“would have </w:t>
      </w:r>
      <w:r w:rsidR="00D65C7F">
        <w:rPr>
          <w:i/>
          <w:iCs/>
        </w:rPr>
        <w:t xml:space="preserve">a significantly lesser effect to the daylight and sunlight to neighbouring properties compared to the </w:t>
      </w:r>
      <w:r w:rsidR="00F252CB">
        <w:rPr>
          <w:i/>
          <w:iCs/>
        </w:rPr>
        <w:t>‘</w:t>
      </w:r>
      <w:r w:rsidR="00D65C7F">
        <w:rPr>
          <w:i/>
          <w:iCs/>
        </w:rPr>
        <w:t>Maximum Parameters Scheme</w:t>
      </w:r>
      <w:r w:rsidR="00DB7706">
        <w:rPr>
          <w:i/>
          <w:iCs/>
        </w:rPr>
        <w:t>’</w:t>
      </w:r>
      <w:r w:rsidR="00DB7706">
        <w:t xml:space="preserve"> (eg 1.9). </w:t>
      </w:r>
    </w:p>
    <w:p w14:paraId="78ADAEF8" w14:textId="77777777" w:rsidR="00421CF4" w:rsidRDefault="00421CF4" w:rsidP="00421CF4">
      <w:pPr>
        <w:pStyle w:val="ListParagraph"/>
      </w:pPr>
    </w:p>
    <w:p w14:paraId="0AFB3B8A" w14:textId="7362F813" w:rsidR="00804E66" w:rsidRDefault="00DB7706" w:rsidP="00B3111C">
      <w:pPr>
        <w:pStyle w:val="ListParagraph"/>
        <w:numPr>
          <w:ilvl w:val="0"/>
          <w:numId w:val="1"/>
        </w:numPr>
        <w:spacing w:line="360" w:lineRule="auto"/>
        <w:jc w:val="both"/>
      </w:pPr>
      <w:r>
        <w:t xml:space="preserve">Mr Lonergan has carried out the assessment and shows how </w:t>
      </w:r>
      <w:r w:rsidR="00025F72">
        <w:t>much difference there would be</w:t>
      </w:r>
      <w:r w:rsidR="00EB631B">
        <w:t xml:space="preserve">, </w:t>
      </w:r>
      <w:r w:rsidR="004C338E">
        <w:t>on that version of the scheme</w:t>
      </w:r>
      <w:r w:rsidR="00EB631B">
        <w:t xml:space="preserve"> (see eg 16.1.39).</w:t>
      </w:r>
      <w:r w:rsidR="00F252CB">
        <w:t xml:space="preserve"> </w:t>
      </w:r>
      <w:r w:rsidR="001D7E56">
        <w:t>Since there is in practice almost no difference between the Illustrative Scheme and the Parameters Sche</w:t>
      </w:r>
      <w:r w:rsidR="00B762A4">
        <w:t>me (the former representing the realistic practical embodiment of the latter)</w:t>
      </w:r>
      <w:r w:rsidR="002457CA">
        <w:t xml:space="preserve">, Mr Dias’s suggestion that the Parameters Scheme does not “minimise” daylight effects is misplaced. No doubt the role of the Illustrative Scheme in setting </w:t>
      </w:r>
      <w:r w:rsidR="009C6153">
        <w:t>daylight and sunlight effects can be discussed further at the inquiry.</w:t>
      </w:r>
    </w:p>
    <w:p w14:paraId="5DF829AF" w14:textId="52C24B7F" w:rsidR="009C6153" w:rsidRDefault="009C6153" w:rsidP="009C6153">
      <w:pPr>
        <w:pStyle w:val="ListParagraph"/>
        <w:spacing w:line="360" w:lineRule="auto"/>
        <w:jc w:val="both"/>
      </w:pPr>
    </w:p>
    <w:p w14:paraId="5064F4D0" w14:textId="4FECC923" w:rsidR="009C6153" w:rsidRDefault="009C6153" w:rsidP="00B3111C">
      <w:pPr>
        <w:pStyle w:val="ListParagraph"/>
        <w:numPr>
          <w:ilvl w:val="0"/>
          <w:numId w:val="1"/>
        </w:numPr>
        <w:spacing w:line="360" w:lineRule="auto"/>
        <w:jc w:val="both"/>
      </w:pPr>
      <w:r>
        <w:t xml:space="preserve">For these reasons, there is no properly maintainable objection to the grant of permission on any ground, including living conditions. </w:t>
      </w:r>
      <w:r w:rsidR="008868B7">
        <w:t xml:space="preserve">The scheme would realise substantial benefits </w:t>
      </w:r>
      <w:r w:rsidR="00577227">
        <w:t xml:space="preserve">in </w:t>
      </w:r>
      <w:r w:rsidR="00577227">
        <w:lastRenderedPageBreak/>
        <w:t xml:space="preserve">placemaking, sustainability and economic terms, at entirely acceptable cost in heritage, townscape and </w:t>
      </w:r>
      <w:r w:rsidR="00D756FC">
        <w:t xml:space="preserve">amenity terms. In due course, the Applicant will request that </w:t>
      </w:r>
      <w:r w:rsidR="00AF3378">
        <w:t>a positive recommendation be made to the Secretary of State and permission granted.</w:t>
      </w:r>
    </w:p>
    <w:p w14:paraId="65DA6C43" w14:textId="77777777" w:rsidR="00AF3378" w:rsidRDefault="00AF3378" w:rsidP="00AF3378">
      <w:pPr>
        <w:pStyle w:val="ListParagraph"/>
      </w:pPr>
    </w:p>
    <w:p w14:paraId="2ABE694D" w14:textId="77777777" w:rsidR="00AF3378" w:rsidRDefault="00AF3378" w:rsidP="00AF3378">
      <w:pPr>
        <w:pStyle w:val="ListParagraph"/>
        <w:spacing w:line="360" w:lineRule="auto"/>
        <w:jc w:val="both"/>
      </w:pPr>
    </w:p>
    <w:p w14:paraId="6457C8A8" w14:textId="77777777" w:rsidR="007B5D81" w:rsidRDefault="007B5D81" w:rsidP="00AF3378">
      <w:pPr>
        <w:pStyle w:val="ListParagraph"/>
        <w:spacing w:line="360" w:lineRule="auto"/>
        <w:jc w:val="both"/>
      </w:pPr>
    </w:p>
    <w:p w14:paraId="6D56A898" w14:textId="77777777" w:rsidR="007B5D81" w:rsidRDefault="007B5D81" w:rsidP="00AF3378">
      <w:pPr>
        <w:pStyle w:val="ListParagraph"/>
        <w:spacing w:line="360" w:lineRule="auto"/>
        <w:jc w:val="both"/>
      </w:pPr>
    </w:p>
    <w:p w14:paraId="000EDF1D" w14:textId="77777777" w:rsidR="00A15813" w:rsidRDefault="00A15813" w:rsidP="00AF3378">
      <w:pPr>
        <w:pStyle w:val="ListParagraph"/>
        <w:spacing w:line="360" w:lineRule="auto"/>
        <w:jc w:val="both"/>
      </w:pPr>
    </w:p>
    <w:p w14:paraId="6C96B1D9" w14:textId="77777777" w:rsidR="007B5D81" w:rsidRDefault="007B5D81" w:rsidP="00AF3378">
      <w:pPr>
        <w:pStyle w:val="ListParagraph"/>
        <w:spacing w:line="360" w:lineRule="auto"/>
        <w:jc w:val="both"/>
      </w:pPr>
    </w:p>
    <w:p w14:paraId="5DF84E43" w14:textId="6DF80E0D" w:rsidR="00AF3378" w:rsidRDefault="00AF3378" w:rsidP="00AF3378">
      <w:pPr>
        <w:pStyle w:val="ListParagraph"/>
        <w:spacing w:line="360" w:lineRule="auto"/>
        <w:jc w:val="right"/>
        <w:rPr>
          <w:b/>
          <w:bCs w:val="0"/>
        </w:rPr>
      </w:pPr>
      <w:r>
        <w:rPr>
          <w:b/>
          <w:bCs w:val="0"/>
        </w:rPr>
        <w:t>RUPERT WARREN KC</w:t>
      </w:r>
    </w:p>
    <w:p w14:paraId="0F2291C8" w14:textId="77777777" w:rsidR="00AF3378" w:rsidRDefault="00AF3378" w:rsidP="00AF3378">
      <w:pPr>
        <w:pStyle w:val="ListParagraph"/>
        <w:spacing w:line="360" w:lineRule="auto"/>
        <w:jc w:val="right"/>
        <w:rPr>
          <w:b/>
          <w:bCs w:val="0"/>
        </w:rPr>
      </w:pPr>
    </w:p>
    <w:p w14:paraId="67C0C2B3" w14:textId="140F6226" w:rsidR="00AF3378" w:rsidRPr="00AF3378" w:rsidRDefault="007B5D81" w:rsidP="00AF3378">
      <w:pPr>
        <w:pStyle w:val="ListParagraph"/>
        <w:spacing w:line="360" w:lineRule="auto"/>
        <w:jc w:val="right"/>
        <w:rPr>
          <w:b/>
          <w:bCs w:val="0"/>
        </w:rPr>
      </w:pPr>
      <w:r>
        <w:rPr>
          <w:b/>
          <w:bCs w:val="0"/>
        </w:rPr>
        <w:t>24 June 2025</w:t>
      </w:r>
    </w:p>
    <w:p w14:paraId="0ADB6693" w14:textId="344EB657" w:rsidR="00710133" w:rsidRPr="00B3111C" w:rsidRDefault="00710133" w:rsidP="00574016">
      <w:pPr>
        <w:spacing w:line="360" w:lineRule="auto"/>
        <w:jc w:val="both"/>
      </w:pPr>
    </w:p>
    <w:sectPr w:rsidR="00710133" w:rsidRPr="00B311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DC0" w14:textId="77777777" w:rsidR="00533DE9" w:rsidRDefault="00533DE9" w:rsidP="00533DE9">
      <w:pPr>
        <w:spacing w:after="0" w:line="240" w:lineRule="auto"/>
      </w:pPr>
      <w:r>
        <w:separator/>
      </w:r>
    </w:p>
  </w:endnote>
  <w:endnote w:type="continuationSeparator" w:id="0">
    <w:p w14:paraId="61CC7B3B" w14:textId="77777777" w:rsidR="00533DE9" w:rsidRDefault="00533DE9" w:rsidP="0053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C990" w14:textId="77777777" w:rsidR="00E83DFB" w:rsidRDefault="00E8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228274"/>
      <w:docPartObj>
        <w:docPartGallery w:val="Page Numbers (Bottom of Page)"/>
        <w:docPartUnique/>
      </w:docPartObj>
    </w:sdtPr>
    <w:sdtEndPr/>
    <w:sdtContent>
      <w:p w14:paraId="64BD2B9C" w14:textId="7C09B547" w:rsidR="00533DE9" w:rsidRDefault="00533DE9">
        <w:pPr>
          <w:pStyle w:val="Footer"/>
          <w:jc w:val="center"/>
        </w:pPr>
        <w:r>
          <w:fldChar w:fldCharType="begin"/>
        </w:r>
        <w:r>
          <w:instrText>PAGE   \* MERGEFORMAT</w:instrText>
        </w:r>
        <w:r>
          <w:fldChar w:fldCharType="separate"/>
        </w:r>
        <w:r>
          <w:t>2</w:t>
        </w:r>
        <w:r>
          <w:fldChar w:fldCharType="end"/>
        </w:r>
      </w:p>
    </w:sdtContent>
  </w:sdt>
  <w:p w14:paraId="27467AB2" w14:textId="77777777" w:rsidR="00533DE9" w:rsidRDefault="00533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1E663" w14:textId="77777777" w:rsidR="00E83DFB" w:rsidRDefault="00E8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05267" w14:textId="77777777" w:rsidR="00533DE9" w:rsidRDefault="00533DE9" w:rsidP="00533DE9">
      <w:pPr>
        <w:spacing w:after="0" w:line="240" w:lineRule="auto"/>
      </w:pPr>
      <w:r>
        <w:separator/>
      </w:r>
    </w:p>
  </w:footnote>
  <w:footnote w:type="continuationSeparator" w:id="0">
    <w:p w14:paraId="50146E36" w14:textId="77777777" w:rsidR="00533DE9" w:rsidRDefault="00533DE9" w:rsidP="0053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1772" w14:textId="77777777" w:rsidR="00E83DFB" w:rsidRDefault="00E83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B9D1" w14:textId="77777777" w:rsidR="00E83DFB" w:rsidRDefault="00E83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791D" w14:textId="77777777" w:rsidR="00E83DFB" w:rsidRDefault="00E83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B10B1"/>
    <w:multiLevelType w:val="hybridMultilevel"/>
    <w:tmpl w:val="CA329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6D"/>
    <w:rsid w:val="00012D08"/>
    <w:rsid w:val="000169A4"/>
    <w:rsid w:val="0002061C"/>
    <w:rsid w:val="00025B6C"/>
    <w:rsid w:val="00025F72"/>
    <w:rsid w:val="00063613"/>
    <w:rsid w:val="000727D3"/>
    <w:rsid w:val="00080A5B"/>
    <w:rsid w:val="000A46E4"/>
    <w:rsid w:val="000D0A10"/>
    <w:rsid w:val="000E3C6D"/>
    <w:rsid w:val="00123947"/>
    <w:rsid w:val="0012726B"/>
    <w:rsid w:val="00162AC2"/>
    <w:rsid w:val="001644EE"/>
    <w:rsid w:val="001714C6"/>
    <w:rsid w:val="00173D15"/>
    <w:rsid w:val="00185A94"/>
    <w:rsid w:val="001D7E56"/>
    <w:rsid w:val="001D7F6E"/>
    <w:rsid w:val="0020081C"/>
    <w:rsid w:val="00200F6B"/>
    <w:rsid w:val="00215A93"/>
    <w:rsid w:val="002457CA"/>
    <w:rsid w:val="00255853"/>
    <w:rsid w:val="00264684"/>
    <w:rsid w:val="002679CB"/>
    <w:rsid w:val="002772CE"/>
    <w:rsid w:val="002901B9"/>
    <w:rsid w:val="00297A8A"/>
    <w:rsid w:val="00310CB3"/>
    <w:rsid w:val="00331759"/>
    <w:rsid w:val="003602A1"/>
    <w:rsid w:val="003606A6"/>
    <w:rsid w:val="00365C69"/>
    <w:rsid w:val="003A1AC4"/>
    <w:rsid w:val="003A3C29"/>
    <w:rsid w:val="003C306D"/>
    <w:rsid w:val="003C3686"/>
    <w:rsid w:val="003C7ADB"/>
    <w:rsid w:val="003D1382"/>
    <w:rsid w:val="00407048"/>
    <w:rsid w:val="00411A76"/>
    <w:rsid w:val="00421CF4"/>
    <w:rsid w:val="0043384B"/>
    <w:rsid w:val="004409FE"/>
    <w:rsid w:val="0044529B"/>
    <w:rsid w:val="00446E79"/>
    <w:rsid w:val="0045437E"/>
    <w:rsid w:val="00476FAB"/>
    <w:rsid w:val="004A7CBD"/>
    <w:rsid w:val="004C338E"/>
    <w:rsid w:val="004D20A9"/>
    <w:rsid w:val="004E2674"/>
    <w:rsid w:val="00533DE9"/>
    <w:rsid w:val="005452E9"/>
    <w:rsid w:val="0057203B"/>
    <w:rsid w:val="005736F0"/>
    <w:rsid w:val="00574016"/>
    <w:rsid w:val="00577227"/>
    <w:rsid w:val="005C2ABA"/>
    <w:rsid w:val="005D1560"/>
    <w:rsid w:val="00664A66"/>
    <w:rsid w:val="00683ACF"/>
    <w:rsid w:val="00695A72"/>
    <w:rsid w:val="006B563E"/>
    <w:rsid w:val="006B59B0"/>
    <w:rsid w:val="006E5EBC"/>
    <w:rsid w:val="006E69DF"/>
    <w:rsid w:val="006F0857"/>
    <w:rsid w:val="006F2BEB"/>
    <w:rsid w:val="00710133"/>
    <w:rsid w:val="007329A9"/>
    <w:rsid w:val="00750F2C"/>
    <w:rsid w:val="00753879"/>
    <w:rsid w:val="0076466D"/>
    <w:rsid w:val="007B5D81"/>
    <w:rsid w:val="007B5ED9"/>
    <w:rsid w:val="007C1F11"/>
    <w:rsid w:val="007C2AA2"/>
    <w:rsid w:val="00804E66"/>
    <w:rsid w:val="008234C2"/>
    <w:rsid w:val="008473B4"/>
    <w:rsid w:val="00862970"/>
    <w:rsid w:val="008747DB"/>
    <w:rsid w:val="008868B7"/>
    <w:rsid w:val="00896CF9"/>
    <w:rsid w:val="008B26B3"/>
    <w:rsid w:val="008E742D"/>
    <w:rsid w:val="008E7A06"/>
    <w:rsid w:val="009412F7"/>
    <w:rsid w:val="00951A9A"/>
    <w:rsid w:val="00956F7E"/>
    <w:rsid w:val="009612ED"/>
    <w:rsid w:val="00961964"/>
    <w:rsid w:val="009845B9"/>
    <w:rsid w:val="00986C14"/>
    <w:rsid w:val="009A0E5D"/>
    <w:rsid w:val="009B5EF2"/>
    <w:rsid w:val="009C1DBC"/>
    <w:rsid w:val="009C45F6"/>
    <w:rsid w:val="009C6153"/>
    <w:rsid w:val="009D2CC1"/>
    <w:rsid w:val="009E2A55"/>
    <w:rsid w:val="009E55B1"/>
    <w:rsid w:val="009E7613"/>
    <w:rsid w:val="009F5F69"/>
    <w:rsid w:val="00A13C07"/>
    <w:rsid w:val="00A15813"/>
    <w:rsid w:val="00A24C0D"/>
    <w:rsid w:val="00A34EB0"/>
    <w:rsid w:val="00A35A92"/>
    <w:rsid w:val="00A656EF"/>
    <w:rsid w:val="00A878E2"/>
    <w:rsid w:val="00AA3A03"/>
    <w:rsid w:val="00AA592B"/>
    <w:rsid w:val="00AB1939"/>
    <w:rsid w:val="00AB3EB3"/>
    <w:rsid w:val="00AC32E2"/>
    <w:rsid w:val="00AD047E"/>
    <w:rsid w:val="00AF3378"/>
    <w:rsid w:val="00B035C2"/>
    <w:rsid w:val="00B3111C"/>
    <w:rsid w:val="00B323F7"/>
    <w:rsid w:val="00B3767F"/>
    <w:rsid w:val="00B45886"/>
    <w:rsid w:val="00B47434"/>
    <w:rsid w:val="00B576BA"/>
    <w:rsid w:val="00B71A1F"/>
    <w:rsid w:val="00B74EE4"/>
    <w:rsid w:val="00B762A4"/>
    <w:rsid w:val="00B9555B"/>
    <w:rsid w:val="00BA0893"/>
    <w:rsid w:val="00BC61CA"/>
    <w:rsid w:val="00BC73CF"/>
    <w:rsid w:val="00BF4421"/>
    <w:rsid w:val="00C105B0"/>
    <w:rsid w:val="00C2291C"/>
    <w:rsid w:val="00C355C4"/>
    <w:rsid w:val="00C42166"/>
    <w:rsid w:val="00C51837"/>
    <w:rsid w:val="00C60F73"/>
    <w:rsid w:val="00C709EA"/>
    <w:rsid w:val="00C72C31"/>
    <w:rsid w:val="00C935D0"/>
    <w:rsid w:val="00C97EA9"/>
    <w:rsid w:val="00CA2E08"/>
    <w:rsid w:val="00CB225A"/>
    <w:rsid w:val="00CB4208"/>
    <w:rsid w:val="00CD4865"/>
    <w:rsid w:val="00CE4ADC"/>
    <w:rsid w:val="00CE66AC"/>
    <w:rsid w:val="00CF597B"/>
    <w:rsid w:val="00D148D6"/>
    <w:rsid w:val="00D226DA"/>
    <w:rsid w:val="00D65C7F"/>
    <w:rsid w:val="00D756FC"/>
    <w:rsid w:val="00D77514"/>
    <w:rsid w:val="00D812B3"/>
    <w:rsid w:val="00D93DF9"/>
    <w:rsid w:val="00DB7706"/>
    <w:rsid w:val="00DC2DF6"/>
    <w:rsid w:val="00DC3B15"/>
    <w:rsid w:val="00DF4ABC"/>
    <w:rsid w:val="00E0076D"/>
    <w:rsid w:val="00E1643A"/>
    <w:rsid w:val="00E22259"/>
    <w:rsid w:val="00E34800"/>
    <w:rsid w:val="00E70BD0"/>
    <w:rsid w:val="00E83DFB"/>
    <w:rsid w:val="00E86C61"/>
    <w:rsid w:val="00EB631B"/>
    <w:rsid w:val="00ED05D1"/>
    <w:rsid w:val="00ED4A3F"/>
    <w:rsid w:val="00ED7230"/>
    <w:rsid w:val="00EE2EEB"/>
    <w:rsid w:val="00EE475D"/>
    <w:rsid w:val="00F04D35"/>
    <w:rsid w:val="00F128AA"/>
    <w:rsid w:val="00F24CD5"/>
    <w:rsid w:val="00F252CB"/>
    <w:rsid w:val="00F31B96"/>
    <w:rsid w:val="00F34D6A"/>
    <w:rsid w:val="00F54C3E"/>
    <w:rsid w:val="00F8018E"/>
    <w:rsid w:val="00F816BD"/>
    <w:rsid w:val="00FB6FBD"/>
    <w:rsid w:val="00FC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7868"/>
  <w15:chartTrackingRefBased/>
  <w15:docId w15:val="{0EC4CCEC-DA97-4FE9-BA99-95EFC0CC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0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0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30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30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30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30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30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0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0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30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30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30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30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30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0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0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306D"/>
    <w:pPr>
      <w:spacing w:before="160"/>
      <w:jc w:val="center"/>
    </w:pPr>
    <w:rPr>
      <w:i/>
      <w:iCs/>
      <w:color w:val="404040" w:themeColor="text1" w:themeTint="BF"/>
    </w:rPr>
  </w:style>
  <w:style w:type="character" w:customStyle="1" w:styleId="QuoteChar">
    <w:name w:val="Quote Char"/>
    <w:basedOn w:val="DefaultParagraphFont"/>
    <w:link w:val="Quote"/>
    <w:uiPriority w:val="29"/>
    <w:rsid w:val="003C306D"/>
    <w:rPr>
      <w:i/>
      <w:iCs/>
      <w:color w:val="404040" w:themeColor="text1" w:themeTint="BF"/>
    </w:rPr>
  </w:style>
  <w:style w:type="paragraph" w:styleId="ListParagraph">
    <w:name w:val="List Paragraph"/>
    <w:basedOn w:val="Normal"/>
    <w:uiPriority w:val="34"/>
    <w:qFormat/>
    <w:rsid w:val="003C306D"/>
    <w:pPr>
      <w:ind w:left="720"/>
      <w:contextualSpacing/>
    </w:pPr>
  </w:style>
  <w:style w:type="character" w:styleId="IntenseEmphasis">
    <w:name w:val="Intense Emphasis"/>
    <w:basedOn w:val="DefaultParagraphFont"/>
    <w:uiPriority w:val="21"/>
    <w:qFormat/>
    <w:rsid w:val="003C306D"/>
    <w:rPr>
      <w:i/>
      <w:iCs/>
      <w:color w:val="0F4761" w:themeColor="accent1" w:themeShade="BF"/>
    </w:rPr>
  </w:style>
  <w:style w:type="paragraph" w:styleId="IntenseQuote">
    <w:name w:val="Intense Quote"/>
    <w:basedOn w:val="Normal"/>
    <w:next w:val="Normal"/>
    <w:link w:val="IntenseQuoteChar"/>
    <w:uiPriority w:val="30"/>
    <w:qFormat/>
    <w:rsid w:val="003C3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06D"/>
    <w:rPr>
      <w:i/>
      <w:iCs/>
      <w:color w:val="0F4761" w:themeColor="accent1" w:themeShade="BF"/>
    </w:rPr>
  </w:style>
  <w:style w:type="character" w:styleId="IntenseReference">
    <w:name w:val="Intense Reference"/>
    <w:basedOn w:val="DefaultParagraphFont"/>
    <w:uiPriority w:val="32"/>
    <w:qFormat/>
    <w:rsid w:val="003C306D"/>
    <w:rPr>
      <w:b/>
      <w:bCs w:val="0"/>
      <w:smallCaps/>
      <w:color w:val="0F4761" w:themeColor="accent1" w:themeShade="BF"/>
      <w:spacing w:val="5"/>
    </w:rPr>
  </w:style>
  <w:style w:type="paragraph" w:styleId="Header">
    <w:name w:val="header"/>
    <w:basedOn w:val="Normal"/>
    <w:link w:val="HeaderChar"/>
    <w:uiPriority w:val="99"/>
    <w:unhideWhenUsed/>
    <w:rsid w:val="00533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DE9"/>
  </w:style>
  <w:style w:type="paragraph" w:styleId="Footer">
    <w:name w:val="footer"/>
    <w:basedOn w:val="Normal"/>
    <w:link w:val="FooterChar"/>
    <w:uiPriority w:val="99"/>
    <w:unhideWhenUsed/>
    <w:rsid w:val="00533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5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DEFD644E9A04DBA8A2040D8674FFF" ma:contentTypeVersion="17" ma:contentTypeDescription="Create a new document." ma:contentTypeScope="" ma:versionID="7a30ee51bf02a0bb4704c2df3b9c0077">
  <xsd:schema xmlns:xsd="http://www.w3.org/2001/XMLSchema" xmlns:xs="http://www.w3.org/2001/XMLSchema" xmlns:p="http://schemas.microsoft.com/office/2006/metadata/properties" xmlns:ns2="19a5b6eb-82e1-4c16-9e98-9639263e9fc6" xmlns:ns3="245b90aa-ba8d-4bee-9b20-f56e8b0fe516" targetNamespace="http://schemas.microsoft.com/office/2006/metadata/properties" ma:root="true" ma:fieldsID="c3eba7fa188ba31c4464303007926c11" ns2:_="" ns3:_="">
    <xsd:import namespace="19a5b6eb-82e1-4c16-9e98-9639263e9fc6"/>
    <xsd:import namespace="245b90aa-ba8d-4bee-9b20-f56e8b0fe5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5b6eb-82e1-4c16-9e98-9639263e9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b90aa-ba8d-4bee-9b20-f56e8b0fe5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53da39-ac5e-4efd-96a1-4600c70d4b8e}" ma:internalName="TaxCatchAll" ma:showField="CatchAllData" ma:web="245b90aa-ba8d-4bee-9b20-f56e8b0fe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5b90aa-ba8d-4bee-9b20-f56e8b0fe516" xsi:nil="true"/>
    <lcf76f155ced4ddcb4097134ff3c332f xmlns="19a5b6eb-82e1-4c16-9e98-9639263e9f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74093-7103-4EAA-B7A9-C4D0A3A80C5D}"/>
</file>

<file path=customXml/itemProps2.xml><?xml version="1.0" encoding="utf-8"?>
<ds:datastoreItem xmlns:ds="http://schemas.openxmlformats.org/officeDocument/2006/customXml" ds:itemID="{3E43903E-1E74-4076-9D18-96238B9B4BDB}"/>
</file>

<file path=customXml/itemProps3.xml><?xml version="1.0" encoding="utf-8"?>
<ds:datastoreItem xmlns:ds="http://schemas.openxmlformats.org/officeDocument/2006/customXml" ds:itemID="{693B717F-936A-4ED8-AA31-26ACAB2FB816}"/>
</file>

<file path=docProps/app.xml><?xml version="1.0" encoding="utf-8"?>
<Properties xmlns="http://schemas.openxmlformats.org/officeDocument/2006/extended-properties" xmlns:vt="http://schemas.openxmlformats.org/officeDocument/2006/docPropsVTypes">
  <Template>Normal</Template>
  <Pages>7</Pages>
  <Words>2595</Words>
  <Characters>13392</Characters>
  <DocSecurity>0</DocSecurity>
  <Lines>243</Lines>
  <Paragraphs>47</Paragraphs>
  <ScaleCrop>false</ScaleCrop>
  <Company/>
  <LinksUpToDate>false</LinksUpToDate>
  <CharactersWithSpaces>15940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0x010100564DEFD644E9A04DBA8A2040D8674FFF</vt:lpwstr>
  </property>
</Properties>
</file>